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5486F" w:rsidRPr="0015486F" w:rsidRDefault="0015486F" w:rsidP="0015486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15486F">
        <w:rPr>
          <w:rFonts w:ascii="Times New Roman" w:hAnsi="Times New Roman" w:cs="Times New Roman"/>
          <w:sz w:val="24"/>
          <w:szCs w:val="24"/>
        </w:rPr>
        <w:t>Приложение 1</w:t>
      </w:r>
    </w:p>
    <w:p w:rsidR="0015486F" w:rsidRPr="0015486F" w:rsidRDefault="0015486F" w:rsidP="0015486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15486F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15486F">
        <w:rPr>
          <w:rFonts w:ascii="Times New Roman" w:hAnsi="Times New Roman" w:cs="Times New Roman"/>
          <w:sz w:val="24"/>
          <w:szCs w:val="24"/>
        </w:rPr>
        <w:t xml:space="preserve"> приказу департамента строительства</w:t>
      </w:r>
    </w:p>
    <w:p w:rsidR="0015486F" w:rsidRPr="0015486F" w:rsidRDefault="0015486F" w:rsidP="0015486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15486F">
        <w:rPr>
          <w:rFonts w:ascii="Times New Roman" w:hAnsi="Times New Roman" w:cs="Times New Roman"/>
          <w:sz w:val="24"/>
          <w:szCs w:val="24"/>
        </w:rPr>
        <w:t>архитектуры</w:t>
      </w:r>
      <w:proofErr w:type="gramEnd"/>
      <w:r w:rsidRPr="0015486F">
        <w:rPr>
          <w:rFonts w:ascii="Times New Roman" w:hAnsi="Times New Roman" w:cs="Times New Roman"/>
          <w:sz w:val="24"/>
          <w:szCs w:val="24"/>
        </w:rPr>
        <w:t xml:space="preserve"> и ЖКХ </w:t>
      </w:r>
    </w:p>
    <w:p w:rsidR="0015486F" w:rsidRPr="0015486F" w:rsidRDefault="0015486F" w:rsidP="0015486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13.11.2020   №199</w:t>
      </w:r>
      <w:r w:rsidRPr="0015486F">
        <w:rPr>
          <w:rFonts w:ascii="Times New Roman" w:hAnsi="Times New Roman" w:cs="Times New Roman"/>
          <w:sz w:val="24"/>
          <w:szCs w:val="24"/>
        </w:rPr>
        <w:t>-н</w:t>
      </w:r>
    </w:p>
    <w:bookmarkEnd w:id="0"/>
    <w:p w:rsidR="0015486F" w:rsidRDefault="0015486F" w:rsidP="0015486F">
      <w:pPr>
        <w:jc w:val="center"/>
        <w:rPr>
          <w:sz w:val="24"/>
          <w:szCs w:val="24"/>
        </w:rPr>
      </w:pPr>
    </w:p>
    <w:p w:rsidR="000A5EB7" w:rsidRDefault="007F1B96" w:rsidP="0015486F">
      <w:pPr>
        <w:jc w:val="center"/>
        <w:rPr>
          <w:rFonts w:ascii="Times New Roman" w:hAnsi="Times New Roman" w:cs="Times New Roman"/>
          <w:sz w:val="24"/>
          <w:szCs w:val="24"/>
        </w:rPr>
      </w:pPr>
      <w:r w:rsidRPr="007F1B96">
        <w:rPr>
          <w:rFonts w:ascii="Times New Roman" w:hAnsi="Times New Roman" w:cs="Times New Roman"/>
          <w:sz w:val="24"/>
          <w:szCs w:val="24"/>
        </w:rPr>
        <w:t>Проект планировки территории</w:t>
      </w:r>
    </w:p>
    <w:p w:rsidR="007F1B96" w:rsidRDefault="007F1B96" w:rsidP="007F1B9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F1B96">
        <w:rPr>
          <w:rFonts w:ascii="Times New Roman" w:hAnsi="Times New Roman" w:cs="Times New Roman"/>
          <w:sz w:val="24"/>
          <w:szCs w:val="24"/>
        </w:rPr>
        <w:t>для размещения объекта, расположенного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F1B96">
        <w:rPr>
          <w:rFonts w:ascii="Times New Roman" w:hAnsi="Times New Roman" w:cs="Times New Roman"/>
          <w:sz w:val="24"/>
          <w:szCs w:val="24"/>
        </w:rPr>
        <w:t>на территории Ханты-Мансийского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F1B96">
        <w:rPr>
          <w:rFonts w:ascii="Times New Roman" w:hAnsi="Times New Roman" w:cs="Times New Roman"/>
          <w:sz w:val="24"/>
          <w:szCs w:val="24"/>
        </w:rPr>
        <w:t>района</w:t>
      </w:r>
    </w:p>
    <w:p w:rsidR="000A5EB7" w:rsidRDefault="000A5EB7" w:rsidP="007F1B96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B7">
        <w:rPr>
          <w:rFonts w:ascii="Times New Roman" w:hAnsi="Times New Roman" w:cs="Times New Roman"/>
          <w:sz w:val="24"/>
          <w:szCs w:val="24"/>
        </w:rPr>
        <w:t>«СИКНС в районе ЦППН-8 Приобского месторождения»</w:t>
      </w:r>
    </w:p>
    <w:p w:rsidR="000A5EB7" w:rsidRDefault="000A5EB7" w:rsidP="007F1B9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Землепользователь «Соровскнефть»</w:t>
      </w:r>
    </w:p>
    <w:p w:rsidR="000A5EB7" w:rsidRDefault="000A5EB7" w:rsidP="007F1B9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A567D" w:rsidRPr="00F735E3" w:rsidRDefault="007A567D" w:rsidP="007A567D">
      <w:pPr>
        <w:jc w:val="center"/>
        <w:rPr>
          <w:rFonts w:ascii="Times New Roman" w:hAnsi="Times New Roman" w:cs="Times New Roman"/>
          <w:sz w:val="24"/>
          <w:szCs w:val="24"/>
        </w:rPr>
      </w:pPr>
      <w:r w:rsidRPr="00F735E3">
        <w:rPr>
          <w:rFonts w:ascii="Times New Roman" w:hAnsi="Times New Roman" w:cs="Times New Roman"/>
          <w:sz w:val="24"/>
          <w:szCs w:val="24"/>
        </w:rPr>
        <w:t>ПРОЕКТ ПЛАНИРОВКИ ТЕРРИТОРИИ. ГРАФИЧЕСКАЯ ЧАСТЬ.</w:t>
      </w:r>
    </w:p>
    <w:p w:rsidR="007A567D" w:rsidRDefault="00D72DED" w:rsidP="007F1B9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0961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Чертеж_ППТ_Страница_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0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0580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Чертеж_ППТ_Страница_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511540"/>
            <wp:effectExtent l="0" t="0" r="3175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Чертеж_ППТ_Страница_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1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79155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Чертеж_ППТ_Страница_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546465"/>
            <wp:effectExtent l="0" t="0" r="3175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Чертеж_ППТ_Страница_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4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533" w:rsidRDefault="00263533" w:rsidP="007F1B9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159E2" w:rsidRDefault="000159E2" w:rsidP="007F1B96">
      <w:pPr>
        <w:jc w:val="center"/>
        <w:rPr>
          <w:rFonts w:ascii="Times New Roman" w:hAnsi="Times New Roman" w:cs="Times New Roman"/>
          <w:sz w:val="24"/>
          <w:szCs w:val="24"/>
        </w:rPr>
        <w:sectPr w:rsidR="000159E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W w:w="4535" w:type="dxa"/>
        <w:jc w:val="center"/>
        <w:tblLayout w:type="fixed"/>
        <w:tblLook w:val="04A0" w:firstRow="1" w:lastRow="0" w:firstColumn="1" w:lastColumn="0" w:noHBand="0" w:noVBand="1"/>
      </w:tblPr>
      <w:tblGrid>
        <w:gridCol w:w="1673"/>
        <w:gridCol w:w="1506"/>
        <w:gridCol w:w="1356"/>
      </w:tblGrid>
      <w:tr w:rsidR="000159E2" w:rsidRPr="00343978" w:rsidTr="007D3C44">
        <w:trPr>
          <w:trHeight w:val="300"/>
          <w:tblHeader/>
          <w:jc w:val="center"/>
        </w:trPr>
        <w:tc>
          <w:tcPr>
            <w:tcW w:w="16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lastRenderedPageBreak/>
              <w:t>Обозначение характерных точек границ</w:t>
            </w:r>
          </w:p>
        </w:tc>
        <w:tc>
          <w:tcPr>
            <w:tcW w:w="28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Координаты, м</w:t>
            </w:r>
          </w:p>
        </w:tc>
      </w:tr>
      <w:tr w:rsidR="000159E2" w:rsidRPr="00343978" w:rsidTr="007D3C44">
        <w:trPr>
          <w:trHeight w:val="690"/>
          <w:tblHeader/>
          <w:jc w:val="center"/>
        </w:trPr>
        <w:tc>
          <w:tcPr>
            <w:tcW w:w="16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59E2" w:rsidRPr="00343978" w:rsidRDefault="000159E2" w:rsidP="007D3C44">
            <w:pPr>
              <w:spacing w:line="240" w:lineRule="auto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Х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Y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1005276,25</w:t>
            </w:r>
          </w:p>
        </w:tc>
        <w:tc>
          <w:tcPr>
            <w:tcW w:w="1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2731120,35</w:t>
            </w:r>
          </w:p>
        </w:tc>
      </w:tr>
      <w:tr w:rsidR="000159E2" w:rsidRPr="00343978" w:rsidTr="00343978">
        <w:trPr>
          <w:trHeight w:val="549"/>
          <w:jc w:val="center"/>
        </w:trPr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1005247,47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2731264,99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3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1005128,13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2731410,40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4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1004885,46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2732667,21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5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1004956,47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2732623,48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6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1005101,55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2732859,02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7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1004843,27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2733018,73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8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1004813,04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2732969,67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9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1004117,26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2733392,88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1004147,68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2733442,90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11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1004071,93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2733488,97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12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1004119,65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2733573,83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13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1004130,13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2733600,99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14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1004080,67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2733623,13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15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1004152,46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2733813,14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16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1004221,40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2733787,06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17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1004274,52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2733927,55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18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1004294,12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2733936,40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19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1004317,78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2733993,73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20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1004205,80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2734036,27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21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1004226,61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2734092,68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22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1004150,48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2734119,35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23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1004161,83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2734150,80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24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1004024,46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2734204,57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25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1004057,34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2734291,06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26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1003853,82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2734368,43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1003872,92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2734420,49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28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1003903,57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2734409,15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29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1003927,00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2734476,15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30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1003898,24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2734484,86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31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1003885,31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2734447,91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lastRenderedPageBreak/>
              <w:t>32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1003855,09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2734459,10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33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1003815,44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2734350,92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34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1004018,61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2734273,68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35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1003982,97</w:t>
            </w:r>
          </w:p>
        </w:tc>
        <w:tc>
          <w:tcPr>
            <w:tcW w:w="1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2734179,94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36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1004122,31</w:t>
            </w:r>
          </w:p>
        </w:tc>
        <w:tc>
          <w:tcPr>
            <w:tcW w:w="1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2734129,75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37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1004111,92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2734100,95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38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1004187,97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2734074,66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39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1004167,35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2734018,78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40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1004278,25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2733976,64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41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1004270,91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2733958,86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42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1004250,84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2733949,78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43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1004203,94</w:t>
            </w:r>
          </w:p>
        </w:tc>
        <w:tc>
          <w:tcPr>
            <w:tcW w:w="1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2733825,78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44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1004134,98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2733851,83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45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1004088,48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2733728,73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46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1003854,42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2733813,51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47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1003856,66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2733818,82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48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1003776,21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2733847,10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49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1003778,13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2733852,56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50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1003788,52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2733849,14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51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1003792,15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2733860,78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52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1003770,63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2733867,46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53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1003760,90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2733839,75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54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1003840,65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2733811,73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55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1003838,47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2733806,51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56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1004075,42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2733720,76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57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1004003,59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2733530,54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58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1003953,20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2733561,18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59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1003841,93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2733378,25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60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1004036,41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2733259,95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61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1004065,27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2733307,40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62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1004694,22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2732924,83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lastRenderedPageBreak/>
              <w:t>63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1004666,70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2732881,44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64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1004732,98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2732839,68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65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1004697,91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2732782,73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66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1004807,98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2732714,94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67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1005067,15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2731372,55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68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1005187,62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2731226,40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69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1005196,87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2731179,93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70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1005210,56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2731172,29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71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1005213,88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2731140,03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72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1005210,47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2731125,36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73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1005182,05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2731093,32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74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1005169,78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2731104,36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75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1005140,75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2731071,65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76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1004961,97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2730976,98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77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1004972,50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2730957,08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78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1004929,05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2730934,07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79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1004919,78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2730930,32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80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1004921,89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2730912,15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81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1004934,56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2730881,72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82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1004925,55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2730877,34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83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1004934,11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2730859,71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84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1004960,57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2730871,27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85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1004947,55</w:t>
            </w:r>
          </w:p>
        </w:tc>
        <w:tc>
          <w:tcPr>
            <w:tcW w:w="1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2730902,59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86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1004956,94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2730907,28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87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1004951,40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2730921,00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88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1005088,34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2730993,50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89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1005098,88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2730973,61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90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1005187,86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2731020,71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91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1005215,70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2731052,10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92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1005203,34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2731063,04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93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1005211,53</w:t>
            </w:r>
          </w:p>
        </w:tc>
        <w:tc>
          <w:tcPr>
            <w:tcW w:w="1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2731072,29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lastRenderedPageBreak/>
              <w:t>94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1005217,81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2731079,35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95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1005226,55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2731089,20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96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1005228,49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2731091,39</w:t>
            </w:r>
          </w:p>
        </w:tc>
      </w:tr>
      <w:tr w:rsidR="000159E2" w:rsidRPr="00343978" w:rsidTr="007D3C44">
        <w:trPr>
          <w:trHeight w:val="300"/>
          <w:jc w:val="center"/>
        </w:trPr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97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1005240,77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59E2" w:rsidRPr="00343978" w:rsidRDefault="000159E2" w:rsidP="007D3C4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343978">
              <w:rPr>
                <w:rFonts w:ascii="Times New Roman" w:hAnsi="Times New Roman" w:cs="Times New Roman"/>
                <w:color w:val="000000" w:themeColor="text1"/>
                <w:szCs w:val="24"/>
              </w:rPr>
              <w:t>2731080,45</w:t>
            </w:r>
          </w:p>
        </w:tc>
      </w:tr>
    </w:tbl>
    <w:p w:rsidR="00263533" w:rsidRDefault="00263533" w:rsidP="007F1B9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63533" w:rsidRDefault="00263533" w:rsidP="007F1B9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159E2" w:rsidRDefault="000159E2" w:rsidP="007F1B96">
      <w:pPr>
        <w:jc w:val="center"/>
        <w:rPr>
          <w:rFonts w:ascii="Times New Roman" w:hAnsi="Times New Roman" w:cs="Times New Roman"/>
          <w:sz w:val="24"/>
          <w:szCs w:val="24"/>
        </w:rPr>
        <w:sectPr w:rsidR="000159E2" w:rsidSect="000159E2"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263533" w:rsidRDefault="009B473B" w:rsidP="007F1B96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9B47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</w:p>
    <w:p w:rsidR="009B473B" w:rsidRPr="009B473B" w:rsidRDefault="009B473B" w:rsidP="009B473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Документация по планировке территории для размещения объекта ООО «Соровскнефть»: «СИКНС в районе ЦППН-8 Приобского месторождения» подготовлена в соответствии с действующим законодательством. Основанием для разработки проекта планировки территории является Приказ Департамента строительства, архитектуры и ЖКХ администрации Ханты-Мансийского района №40-н от 27.04.2020 г.</w:t>
      </w:r>
    </w:p>
    <w:p w:rsidR="009B473B" w:rsidRPr="009B473B" w:rsidRDefault="009B473B" w:rsidP="009B473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Территория планируемого строительства расположена в Ханты-Мансийском районе Ханты-Мансийского автономного округа-Югра Тюменской области.</w:t>
      </w:r>
    </w:p>
    <w:p w:rsidR="009B473B" w:rsidRPr="009B473B" w:rsidRDefault="009B473B" w:rsidP="009B473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Строительство осуществляется в границах кадастрового квартала 86:02:0404002. Площадь допустимого размещения участка составляет 40,7888 га, площадь зоны планируемого размещения проектируемых объектов строительства составляет 40,7888 га.</w:t>
      </w:r>
    </w:p>
    <w:p w:rsidR="009B473B" w:rsidRPr="009B473B" w:rsidRDefault="009B473B" w:rsidP="009B473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Вид разрешенного использование – </w:t>
      </w:r>
      <w:r w:rsidRPr="009B473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строительство, реконструкция, эксплуатация линейных объектов.</w:t>
      </w:r>
    </w:p>
    <w:p w:rsidR="009B473B" w:rsidRPr="009B473B" w:rsidRDefault="009B473B" w:rsidP="009B473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Категория земельных участков, изымаемых для строительства объекта, относится в соответствии со ст. 7 Земельного кодекса РФ к землям лесного фонда.</w:t>
      </w:r>
    </w:p>
    <w:p w:rsidR="009B473B" w:rsidRPr="009B473B" w:rsidRDefault="009B473B" w:rsidP="009B473B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Данной проектной документацией предусматривается обустройство и строительство объектов:</w:t>
      </w:r>
    </w:p>
    <w:p w:rsidR="009B473B" w:rsidRPr="009B473B" w:rsidRDefault="009B473B" w:rsidP="009B473B">
      <w:pPr>
        <w:numPr>
          <w:ilvl w:val="0"/>
          <w:numId w:val="1"/>
        </w:numPr>
        <w:suppressAutoHyphens/>
        <w:spacing w:after="0" w:line="360" w:lineRule="auto"/>
        <w:ind w:left="127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Площадка СИКНС;</w:t>
      </w:r>
    </w:p>
    <w:p w:rsidR="009B473B" w:rsidRPr="009B473B" w:rsidRDefault="009B473B" w:rsidP="009B473B">
      <w:pPr>
        <w:numPr>
          <w:ilvl w:val="0"/>
          <w:numId w:val="1"/>
        </w:numPr>
        <w:suppressAutoHyphens/>
        <w:spacing w:after="0" w:line="360" w:lineRule="auto"/>
        <w:ind w:left="127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Напорный нефтепровод «СИКНС - ЦППН-8»;</w:t>
      </w:r>
    </w:p>
    <w:p w:rsidR="009B473B" w:rsidRPr="009B473B" w:rsidRDefault="009B473B" w:rsidP="009B473B">
      <w:pPr>
        <w:numPr>
          <w:ilvl w:val="0"/>
          <w:numId w:val="1"/>
        </w:numPr>
        <w:tabs>
          <w:tab w:val="left" w:pos="993"/>
        </w:tabs>
        <w:suppressAutoHyphens/>
        <w:spacing w:after="0" w:line="360" w:lineRule="auto"/>
        <w:ind w:left="127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ВЛ-6 кВ (2 линии);</w:t>
      </w:r>
    </w:p>
    <w:p w:rsidR="009B473B" w:rsidRPr="009B473B" w:rsidRDefault="007D3C44" w:rsidP="009B473B">
      <w:pPr>
        <w:numPr>
          <w:ilvl w:val="0"/>
          <w:numId w:val="1"/>
        </w:numPr>
        <w:tabs>
          <w:tab w:val="left" w:pos="993"/>
        </w:tabs>
        <w:suppressAutoHyphens/>
        <w:spacing w:after="0" w:line="360" w:lineRule="auto"/>
        <w:ind w:left="1276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Автомобильная дорога,</w:t>
      </w:r>
      <w:r w:rsidR="009B473B"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IV-в.</w:t>
      </w:r>
    </w:p>
    <w:p w:rsidR="009B473B" w:rsidRPr="009B473B" w:rsidRDefault="009B473B" w:rsidP="009B473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B473B">
        <w:rPr>
          <w:rFonts w:ascii="Times New Roman" w:hAnsi="Times New Roman" w:cs="Times New Roman"/>
          <w:b/>
          <w:sz w:val="24"/>
          <w:szCs w:val="24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</w:p>
    <w:p w:rsidR="009B473B" w:rsidRDefault="009B473B" w:rsidP="009B473B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9B473B">
        <w:rPr>
          <w:rFonts w:ascii="Times New Roman" w:hAnsi="Times New Roman" w:cs="Times New Roman"/>
          <w:sz w:val="24"/>
          <w:szCs w:val="24"/>
        </w:rPr>
        <w:t>В административном отношении участок работ расположен в Ханты-Мансийском районе, Ханты-Мансийского автономного округа - Югра, Тюменской области, Российской Федерации.</w:t>
      </w:r>
    </w:p>
    <w:p w:rsidR="009B473B" w:rsidRPr="00745999" w:rsidRDefault="009B473B" w:rsidP="009B473B">
      <w:pPr>
        <w:pStyle w:val="2"/>
        <w:numPr>
          <w:ilvl w:val="1"/>
          <w:numId w:val="0"/>
        </w:numPr>
        <w:jc w:val="center"/>
        <w:rPr>
          <w:color w:val="000000" w:themeColor="text1"/>
          <w:szCs w:val="24"/>
        </w:rPr>
      </w:pPr>
      <w:r w:rsidRPr="00745999">
        <w:rPr>
          <w:color w:val="000000" w:themeColor="text1"/>
          <w:szCs w:val="24"/>
        </w:rPr>
        <w:t>Перечень координат характерных точек границ зон планируемого размещения линейных объектов</w:t>
      </w:r>
    </w:p>
    <w:p w:rsidR="009B473B" w:rsidRPr="009B473B" w:rsidRDefault="009B473B" w:rsidP="009B473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 w:cs="Times New Roman"/>
          <w:sz w:val="24"/>
          <w:szCs w:val="24"/>
        </w:rPr>
      </w:pPr>
      <w:r w:rsidRPr="009B473B">
        <w:rPr>
          <w:rFonts w:ascii="Times New Roman" w:hAnsi="Times New Roman" w:cs="Times New Roman"/>
          <w:sz w:val="24"/>
          <w:szCs w:val="24"/>
        </w:rPr>
        <w:t>Координаты характерных точек границ зоны планируемого размещения совпадают с устанавливаемыми красными линиями проектируемого объекта и представлены в графической части.</w:t>
      </w:r>
    </w:p>
    <w:p w:rsidR="009B473B" w:rsidRPr="009B473B" w:rsidRDefault="009B473B" w:rsidP="007D3C44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473B">
        <w:rPr>
          <w:rFonts w:ascii="Times New Roman" w:hAnsi="Times New Roman" w:cs="Times New Roman"/>
          <w:sz w:val="24"/>
          <w:szCs w:val="24"/>
        </w:rPr>
        <w:lastRenderedPageBreak/>
        <w:t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Ханты-Мансийского автономного округа-Югры МСК-86 (зона 2).</w:t>
      </w:r>
    </w:p>
    <w:p w:rsidR="009B473B" w:rsidRPr="009B473B" w:rsidRDefault="009B473B" w:rsidP="009B473B">
      <w:pPr>
        <w:numPr>
          <w:ilvl w:val="1"/>
          <w:numId w:val="0"/>
        </w:numPr>
        <w:spacing w:before="240" w:after="24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линейного объекта</w:t>
      </w:r>
    </w:p>
    <w:p w:rsidR="009B473B" w:rsidRPr="009B473B" w:rsidRDefault="009B473B" w:rsidP="009B473B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линейного объекта проектом не предусматривается.</w:t>
      </w:r>
    </w:p>
    <w:p w:rsidR="009B473B" w:rsidRPr="009B473B" w:rsidRDefault="009B473B" w:rsidP="009B473B">
      <w:pPr>
        <w:numPr>
          <w:ilvl w:val="1"/>
          <w:numId w:val="0"/>
        </w:numPr>
        <w:spacing w:before="240" w:after="24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Предельные параметры разрешенного строительства, реконструкции объектов капитального строительства, входящих в состав линейного объекта в границах зон его планируемого размещения</w:t>
      </w:r>
    </w:p>
    <w:p w:rsidR="009B473B" w:rsidRPr="009B473B" w:rsidRDefault="009B473B" w:rsidP="009B473B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Предельные минимальные и максимальные размеры земельных участков и предельные параметры разрешенного строительства, реконструкции объектов капитального строительства, минимальные отступы от границ земельных участков в целях определения мест допустимого размещения объектов капитального строительства не подлежат установлению.</w:t>
      </w:r>
    </w:p>
    <w:p w:rsidR="009B473B" w:rsidRPr="009B473B" w:rsidRDefault="009B473B" w:rsidP="009B473B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Соблюдение требований к архитектурным решениям объектов капитального строительства, входящих в состав линейных объектов, в границах каждой зоны планируемого размещения таких объектов, расположенной в границах  территории исторического поселения федерального или регионального значения, а так же требований к цветовому решению внешнего облика таких объектов, требований к строительным материалам, определяющим внешний облик таких объектов, требований к объемно-пространственным, архитектурно-стилистическим и иным характеристикам таких объектов, влияющим на внешний облик и (или) на композицию, а также на силуэт застройки исторического поселения не предусматривается проектом.</w:t>
      </w:r>
    </w:p>
    <w:p w:rsidR="009B473B" w:rsidRPr="009B473B" w:rsidRDefault="009B473B" w:rsidP="009B473B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Учитывая основные технические характеристики проектируемого Объекта, проектом планировки территории определены границы зоны его планируемого размещения.</w:t>
      </w:r>
    </w:p>
    <w:p w:rsidR="009B473B" w:rsidRPr="009B473B" w:rsidRDefault="009B473B" w:rsidP="009B473B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Общая площадь зоны планируемого размещения проектируемого объекта составляет -</w:t>
      </w: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40,7888 га.</w:t>
      </w: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B473B" w:rsidRDefault="009B473B" w:rsidP="009B473B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Граница зоны планируемого размещения объекта установлена в соответствии с требованиями действующих норм отвода земель и учтена при разработке рабочего проекта.</w:t>
      </w:r>
    </w:p>
    <w:p w:rsidR="009B473B" w:rsidRDefault="009B473B" w:rsidP="009B473B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B473B" w:rsidRDefault="009B473B" w:rsidP="009B473B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B473B" w:rsidRPr="009B473B" w:rsidRDefault="009B473B" w:rsidP="009B473B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B473B" w:rsidRPr="009B473B" w:rsidRDefault="009B473B" w:rsidP="009B473B">
      <w:pPr>
        <w:numPr>
          <w:ilvl w:val="1"/>
          <w:numId w:val="0"/>
        </w:numPr>
        <w:spacing w:before="240" w:after="24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</w:p>
    <w:p w:rsidR="009B473B" w:rsidRPr="009B473B" w:rsidRDefault="009B473B" w:rsidP="009B473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7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Осуществление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не предусматривается.</w:t>
      </w:r>
    </w:p>
    <w:p w:rsidR="00E4674F" w:rsidRPr="00E4674F" w:rsidRDefault="00E4674F" w:rsidP="00E4674F">
      <w:pPr>
        <w:numPr>
          <w:ilvl w:val="1"/>
          <w:numId w:val="0"/>
        </w:numPr>
        <w:spacing w:before="240" w:after="240" w:line="240" w:lineRule="auto"/>
        <w:jc w:val="center"/>
        <w:outlineLvl w:val="1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E467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</w:p>
    <w:p w:rsidR="00E4674F" w:rsidRPr="00E4674F" w:rsidRDefault="00E4674F" w:rsidP="00E4674F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E4674F">
        <w:rPr>
          <w:rFonts w:ascii="Times New Roman" w:eastAsia="Times New Roman" w:hAnsi="Times New Roman" w:cs="Times New Roman"/>
          <w:sz w:val="24"/>
          <w:szCs w:val="20"/>
          <w:lang w:eastAsia="ru-RU"/>
        </w:rPr>
        <w:t>Правовое регулирование отношений в области сохранения, использования, популяризации и государственной охраны объектов культурного наследия (памятников истории и культуры) народов РФ осуществляется в соответствии с Федеральным Законом «Об объектах культурного наследия (памятниках истории и культуры) народов Российской Федерации» от 25.06.2002 № 73-ФЗ. В случае обнаружения объекта, обладающего признаками объекта культурного наследия, в том числе объекта археологического наследия, земляные, строительные, мелиоративные хозяйственные и иные работы должны быть приостановлены и в течение трех дней со дня обнаружения такого объекта направить в департамент культуры автономного округа письменное заявление об обнаруженном объекте культурного наследия.</w:t>
      </w:r>
    </w:p>
    <w:p w:rsidR="00E4674F" w:rsidRDefault="00E4674F" w:rsidP="00E4674F">
      <w:pPr>
        <w:tabs>
          <w:tab w:val="left" w:pos="851"/>
        </w:tabs>
        <w:suppressAutoHyphens/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E4674F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На территории проектируемого объекта, согласно заключению службы государственной </w:t>
      </w:r>
      <w:r w:rsidRPr="00E4674F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охраны объектов культурного наследия Ханты-Мансийского округа – Югры № 20-4129 от 16.09.2020 г. объекты </w:t>
      </w:r>
      <w:r w:rsidRPr="00E4674F">
        <w:rPr>
          <w:rFonts w:ascii="Times New Roman" w:eastAsia="Times New Roman" w:hAnsi="Times New Roman" w:cs="Times New Roman"/>
          <w:sz w:val="24"/>
          <w:szCs w:val="20"/>
          <w:lang w:eastAsia="ru-RU"/>
        </w:rPr>
        <w:t>культурного наследия федерального, регионального, местного (муниципального) значения, включенные в единый государственный реестр объектов культурного наследия (</w:t>
      </w:r>
      <w:r w:rsidRPr="00E4674F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памятников истории и культуры) народов Российской Федерации, а также выявленные объекты культурного наследия отсутствуют.</w:t>
      </w:r>
    </w:p>
    <w:p w:rsidR="00E4674F" w:rsidRDefault="00E4674F" w:rsidP="00E4674F">
      <w:pPr>
        <w:tabs>
          <w:tab w:val="left" w:pos="851"/>
        </w:tabs>
        <w:suppressAutoHyphens/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</w:p>
    <w:p w:rsidR="00E4674F" w:rsidRPr="00E4674F" w:rsidRDefault="00E4674F" w:rsidP="00E4674F">
      <w:pPr>
        <w:tabs>
          <w:tab w:val="left" w:pos="851"/>
        </w:tabs>
        <w:suppressAutoHyphens/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E4674F" w:rsidRPr="00E4674F" w:rsidRDefault="00E4674F" w:rsidP="00E4674F">
      <w:pPr>
        <w:numPr>
          <w:ilvl w:val="1"/>
          <w:numId w:val="0"/>
        </w:numPr>
        <w:spacing w:before="240" w:after="240" w:line="240" w:lineRule="auto"/>
        <w:jc w:val="center"/>
        <w:outlineLvl w:val="1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E467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Информация о необходимости осуществления мероприятий по охране окружающей среды</w:t>
      </w:r>
    </w:p>
    <w:p w:rsidR="00E4674F" w:rsidRPr="00E4674F" w:rsidRDefault="00E4674F" w:rsidP="00E467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При осуществлении строительных работ необходимо выполнять требования Закона РФ «Об охране окружающей среды» от 10.01.2002 г. № 7 ФЗ. Рациональная организация производства работ и эксплуатация строительной техники, а также наличие всех технических средств гигиенических сертификатов должны исключить отрицательное воздействие на окружающую природную среду или свести их до минимума.</w:t>
      </w:r>
    </w:p>
    <w:p w:rsidR="00E4674F" w:rsidRPr="00E4674F" w:rsidRDefault="00E4674F" w:rsidP="00E467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реализации решений проекта планировки территории необходимо осуществлять мероприятия по охране окружающей среды. </w:t>
      </w:r>
    </w:p>
    <w:p w:rsidR="00E4674F" w:rsidRPr="00E4674F" w:rsidRDefault="00E4674F" w:rsidP="00E467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Для предотвращения и снижения ущерба растительности будут предприняты следующие меры:</w:t>
      </w:r>
    </w:p>
    <w:p w:rsidR="00E4674F" w:rsidRPr="00E4674F" w:rsidRDefault="00E4674F" w:rsidP="00E4674F">
      <w:pPr>
        <w:numPr>
          <w:ilvl w:val="0"/>
          <w:numId w:val="4"/>
        </w:numPr>
        <w:tabs>
          <w:tab w:val="left" w:pos="107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соблюдение норм землеотвода, минимизация расчищаемых при строительстве площадей;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left" w:pos="107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соблюдение противопожарных норм;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left" w:pos="107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предотвращение развития эрозионных процессов;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left" w:pos="107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предотвращение локальных разливов горюче-смазочных материалов;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left" w:pos="107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контроль за движением транспорта;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left" w:pos="107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сведение к минимуму загрязнения воздуха;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left" w:pos="107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плановое проведение строительных работ при устойчивых отрицательных температурах и достаточном по мощности снежном покрове позволит избежать нарушения травяно-кустарникового покрова;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left" w:pos="107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мониторинг и контроль гидрологического режима и состава грунтовых вод;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left" w:pos="1077"/>
          <w:tab w:val="num" w:pos="595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мониторинг состояния растительности;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left" w:pos="1077"/>
          <w:tab w:val="num" w:pos="5954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рекультивация земельных участков.</w:t>
      </w:r>
    </w:p>
    <w:p w:rsidR="00E4674F" w:rsidRPr="00E4674F" w:rsidRDefault="00E4674F" w:rsidP="00E467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С целью минимизации возможного воздействия на фауну наземных животных в результате обустройства, будут выполняться следующие мероприятия:</w:t>
      </w:r>
    </w:p>
    <w:p w:rsidR="00E4674F" w:rsidRPr="00E4674F" w:rsidRDefault="00E4674F" w:rsidP="00E4674F">
      <w:pPr>
        <w:numPr>
          <w:ilvl w:val="0"/>
          <w:numId w:val="4"/>
        </w:numPr>
        <w:tabs>
          <w:tab w:val="clear" w:pos="1353"/>
          <w:tab w:val="left" w:pos="1077"/>
          <w:tab w:val="num" w:pos="1701"/>
          <w:tab w:val="num" w:pos="574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предусматриваемые проектной документацией мероприятия, направленные на охрану атмосферного воздуха, поверхностных и подземных вод, почвенно-растительного покрова, обращение с отходами обеспечивают и охрану среды обитания животного мира на этих территориях.</w:t>
      </w:r>
    </w:p>
    <w:p w:rsidR="00E4674F" w:rsidRPr="00E4674F" w:rsidRDefault="00E4674F" w:rsidP="00E467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Благодаря этим мероприятиям можно уменьшить негативное антропогенное воздействие, но полностью исключить его невозможно:</w:t>
      </w:r>
    </w:p>
    <w:p w:rsidR="00E4674F" w:rsidRPr="00E4674F" w:rsidRDefault="00E4674F" w:rsidP="00E4674F">
      <w:pPr>
        <w:numPr>
          <w:ilvl w:val="0"/>
          <w:numId w:val="4"/>
        </w:numPr>
        <w:tabs>
          <w:tab w:val="clear" w:pos="1353"/>
          <w:tab w:val="left" w:pos="1077"/>
          <w:tab w:val="num" w:pos="574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lastRenderedPageBreak/>
        <w:t>инженерно-строительные работы будут проводиться с учетом сроков наибольшей уязвимости отдельных видов и групп животных в зимний период;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clear" w:pos="1353"/>
          <w:tab w:val="left" w:pos="1077"/>
          <w:tab w:val="num" w:pos="574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влияние на животный мир во время проведения строительных работ будет ограничено участками согласованного земельного отвода. Для снижения воздействия на почвы и растительность проведение каких-либо строительных работ или движение строительной техники вне участков согласованного земельного отвода будет запрещено;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clear" w:pos="1353"/>
          <w:tab w:val="left" w:pos="1077"/>
          <w:tab w:val="num" w:pos="574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использование ярких источников света (прожекторов) ночью будет ограничено местами непосредственного выполнения работ или требованиями техники безопасности;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clear" w:pos="1353"/>
          <w:tab w:val="left" w:pos="1077"/>
          <w:tab w:val="num" w:pos="574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будет реализован контроль несанкционированного доступа местного населения, целью которого является ограничение использования ранее не затронутых влиянием человека зон, особенно при наличии чувствительных к антропогенному воздействию местообитаний;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clear" w:pos="1353"/>
          <w:tab w:val="left" w:pos="1077"/>
          <w:tab w:val="num" w:pos="574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будут приняты меры, ограничивающие несанкционированный доступ машин в зону обустройства путем восстановления естественного рельефа местности, или с помощью устройства искусственных заграждений;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clear" w:pos="1353"/>
          <w:tab w:val="left" w:pos="1077"/>
          <w:tab w:val="num" w:pos="574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небольшие локальные утечки технологических жидкостей будут ликвидироваться силами строителей. Загрязненная почва будет удаляться;</w:t>
      </w:r>
    </w:p>
    <w:p w:rsidR="00E4674F" w:rsidRPr="00E4674F" w:rsidRDefault="00E4674F" w:rsidP="00E4674F">
      <w:pPr>
        <w:numPr>
          <w:ilvl w:val="0"/>
          <w:numId w:val="4"/>
        </w:numPr>
        <w:tabs>
          <w:tab w:val="clear" w:pos="1353"/>
          <w:tab w:val="left" w:pos="1077"/>
          <w:tab w:val="num" w:pos="574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загрязнения окружающей среды будут контролироваться системой мониторинга.</w:t>
      </w:r>
    </w:p>
    <w:p w:rsidR="00E4674F" w:rsidRPr="00E4674F" w:rsidRDefault="00E4674F" w:rsidP="00E467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Для предотвращения негативного воздействия на подземные воды при осуществлении проектируемых работ предусматриваются следующие технологические решения:</w:t>
      </w:r>
    </w:p>
    <w:p w:rsidR="00E4674F" w:rsidRPr="00E4674F" w:rsidRDefault="00E4674F" w:rsidP="00E4674F">
      <w:pPr>
        <w:numPr>
          <w:ilvl w:val="0"/>
          <w:numId w:val="3"/>
        </w:numPr>
        <w:tabs>
          <w:tab w:val="left" w:pos="56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использование поддонов при заправке спецтехники;</w:t>
      </w:r>
    </w:p>
    <w:p w:rsidR="00E4674F" w:rsidRPr="00E4674F" w:rsidRDefault="00E4674F" w:rsidP="00E4674F">
      <w:pPr>
        <w:numPr>
          <w:ilvl w:val="0"/>
          <w:numId w:val="3"/>
        </w:numPr>
        <w:tabs>
          <w:tab w:val="left" w:pos="56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недопущение сброса сточных вод на рельеф;</w:t>
      </w:r>
    </w:p>
    <w:p w:rsidR="00E4674F" w:rsidRPr="00E4674F" w:rsidRDefault="00E4674F" w:rsidP="00E4674F">
      <w:pPr>
        <w:numPr>
          <w:ilvl w:val="0"/>
          <w:numId w:val="3"/>
        </w:numPr>
        <w:tabs>
          <w:tab w:val="left" w:pos="56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вынос площадок временного накопления отходов за территорию зон ЗСО I, II, III поясов;</w:t>
      </w:r>
    </w:p>
    <w:p w:rsidR="00E4674F" w:rsidRPr="00E4674F" w:rsidRDefault="00E4674F" w:rsidP="00E4674F">
      <w:pPr>
        <w:numPr>
          <w:ilvl w:val="0"/>
          <w:numId w:val="3"/>
        </w:numPr>
        <w:tabs>
          <w:tab w:val="left" w:pos="56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своевременный вывоз отходов к местам их легального размещения, обезвреживания, утилизации;</w:t>
      </w:r>
    </w:p>
    <w:p w:rsidR="00E4674F" w:rsidRPr="00E4674F" w:rsidRDefault="00E4674F" w:rsidP="00E4674F">
      <w:pPr>
        <w:numPr>
          <w:ilvl w:val="0"/>
          <w:numId w:val="3"/>
        </w:numPr>
        <w:tabs>
          <w:tab w:val="left" w:pos="56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своевременная откачка и вывоз сточных вод на очистные сооружения;</w:t>
      </w:r>
    </w:p>
    <w:p w:rsidR="00E4674F" w:rsidRPr="00E4674F" w:rsidRDefault="00E4674F" w:rsidP="00E4674F">
      <w:pPr>
        <w:numPr>
          <w:ilvl w:val="0"/>
          <w:numId w:val="3"/>
        </w:numPr>
        <w:tabs>
          <w:tab w:val="left" w:pos="567"/>
        </w:tabs>
        <w:suppressAutoHyphens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сбор дождевых стоков в герметичную емкость.</w:t>
      </w:r>
    </w:p>
    <w:p w:rsidR="00E4674F" w:rsidRPr="00E4674F" w:rsidRDefault="00E4674F" w:rsidP="00E4674F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x-none"/>
        </w:rPr>
        <w:t>Неукоснительное соблюдение проектных решений обеспечивает надежную охрану недр.</w:t>
      </w:r>
    </w:p>
    <w:p w:rsidR="00E4674F" w:rsidRPr="00E4674F" w:rsidRDefault="00E4674F" w:rsidP="00E4674F">
      <w:pPr>
        <w:numPr>
          <w:ilvl w:val="1"/>
          <w:numId w:val="0"/>
        </w:numPr>
        <w:spacing w:before="240" w:after="240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bookmarkStart w:id="1" w:name="_Toc31983226"/>
      <w:r w:rsidRPr="00E467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1"/>
    </w:p>
    <w:p w:rsidR="00E4674F" w:rsidRPr="00E4674F" w:rsidRDefault="00E4674F" w:rsidP="00E467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Мероприятия по гражданской обороне в Российской Федерации разрабатываются и проводятся с учетом категорий организаций по ГО. Согласно исходным данным и требованиям для разработки перечня мероприятий по гражданской обороне, мероприятий по предупреждению чрезвычайных ситуаций природного и техногенного характера проектируемый объект является не категорированным по гражданской обороне. Ограничения на размещение проектируемого объекта требованиями ГО не установлены.</w:t>
      </w:r>
    </w:p>
    <w:p w:rsidR="00E4674F" w:rsidRPr="00E4674F" w:rsidRDefault="00E4674F" w:rsidP="00E4674F">
      <w:pPr>
        <w:tabs>
          <w:tab w:val="left" w:pos="99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Согласно исходным данным и требованиям для разработки перечня мероприятий по гражданской обороне, мероприятий по предупреждению чрезвычайных ситуаций природного и техногенного характера, проектируемый объект располагается вне зон опасности, предусмотренных СП 165.1325800.2014. Выполнение инженерно-технических мероприятий гражданской обороны, предусмотренных для указанных зон, не требуется.</w:t>
      </w:r>
    </w:p>
    <w:p w:rsidR="00E4674F" w:rsidRPr="00E4674F" w:rsidRDefault="00E4674F" w:rsidP="00E4674F">
      <w:pPr>
        <w:tabs>
          <w:tab w:val="left" w:pos="851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467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военное время район размещения проектируемого объекта не рассматривается в качестве территории, предназначенной для размещения эвакуируемого населения в военное время, так как не пригоден для жизнедеятельности населения. В связи с этим район размещения проектируемого объекта не относится к загородной зоне.</w:t>
      </w:r>
    </w:p>
    <w:p w:rsidR="00E4674F" w:rsidRPr="00E4674F" w:rsidRDefault="00E4674F" w:rsidP="00E4674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E4674F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Проектом предусмотрено соблюдение требований и выполнение мероприятий по обеспечению пожарной безопасности на территории проектируемого объекта, предусмотренных ФЗ № 123, ВНТП 3-85, ППР в РФ №390.</w:t>
      </w:r>
    </w:p>
    <w:p w:rsidR="009B473B" w:rsidRPr="009B473B" w:rsidRDefault="009B473B" w:rsidP="009B473B">
      <w:pPr>
        <w:ind w:firstLine="709"/>
        <w:rPr>
          <w:rFonts w:ascii="Times New Roman" w:hAnsi="Times New Roman" w:cs="Times New Roman"/>
          <w:sz w:val="24"/>
          <w:szCs w:val="24"/>
        </w:rPr>
      </w:pPr>
    </w:p>
    <w:sectPr w:rsidR="009B473B" w:rsidRPr="009B473B" w:rsidSect="009B47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927AE2"/>
    <w:multiLevelType w:val="hybridMultilevel"/>
    <w:tmpl w:val="A8B0D408"/>
    <w:lvl w:ilvl="0" w:tplc="F27E9234">
      <w:start w:val="1"/>
      <w:numFmt w:val="bullet"/>
      <w:lvlText w:val="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  <w:lvl w:ilvl="1" w:tplc="04190017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>
    <w:nsid w:val="0E3C4705"/>
    <w:multiLevelType w:val="multilevel"/>
    <w:tmpl w:val="6FBACF7E"/>
    <w:lvl w:ilvl="0">
      <w:start w:val="1"/>
      <w:numFmt w:val="decimal"/>
      <w:pStyle w:val="1"/>
      <w:lvlText w:val="%1"/>
      <w:lvlJc w:val="left"/>
      <w:pPr>
        <w:tabs>
          <w:tab w:val="num" w:pos="709"/>
        </w:tabs>
        <w:ind w:left="709" w:firstLine="0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pStyle w:val="2"/>
      <w:lvlText w:val="%1.%2"/>
      <w:lvlJc w:val="left"/>
      <w:pPr>
        <w:tabs>
          <w:tab w:val="num" w:pos="85"/>
        </w:tabs>
        <w:ind w:left="425" w:firstLine="0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369"/>
        </w:tabs>
        <w:ind w:left="709" w:firstLine="0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369"/>
        </w:tabs>
        <w:ind w:left="709" w:firstLine="0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369"/>
        </w:tabs>
        <w:ind w:left="709" w:firstLine="0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369"/>
        </w:tabs>
        <w:ind w:left="709" w:firstLine="0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369"/>
        </w:tabs>
        <w:ind w:left="709" w:firstLine="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709"/>
        </w:tabs>
        <w:ind w:left="709" w:firstLine="0"/>
      </w:pPr>
      <w:rPr>
        <w:rFonts w:hint="default"/>
      </w:rPr>
    </w:lvl>
  </w:abstractNum>
  <w:abstractNum w:abstractNumId="2">
    <w:nsid w:val="10565C29"/>
    <w:multiLevelType w:val="hybridMultilevel"/>
    <w:tmpl w:val="753E30DE"/>
    <w:lvl w:ilvl="0" w:tplc="F9DC1A42">
      <w:start w:val="1"/>
      <w:numFmt w:val="bullet"/>
      <w:lvlText w:val="­"/>
      <w:lvlJc w:val="left"/>
      <w:pPr>
        <w:ind w:left="9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55210F1"/>
    <w:multiLevelType w:val="hybridMultilevel"/>
    <w:tmpl w:val="12301002"/>
    <w:lvl w:ilvl="0" w:tplc="1370285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6B07"/>
    <w:rsid w:val="000159E2"/>
    <w:rsid w:val="000A5EB7"/>
    <w:rsid w:val="0015486F"/>
    <w:rsid w:val="00263533"/>
    <w:rsid w:val="00343978"/>
    <w:rsid w:val="007A567D"/>
    <w:rsid w:val="007D3C44"/>
    <w:rsid w:val="007F1B96"/>
    <w:rsid w:val="009B473B"/>
    <w:rsid w:val="00D72DED"/>
    <w:rsid w:val="00D9001F"/>
    <w:rsid w:val="00E40D18"/>
    <w:rsid w:val="00E4674F"/>
    <w:rsid w:val="00F46B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26511508-6D8C-4F28-8CF4-F90C05C589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aliases w:val="новая страница,.,Heading 1 Char Char,номер приложения,iiia? i?eei?aiey,11. Заголовок 1,Раздел 1,Заголовок 1 Знак Знак Знак,новая страница Знак,Заголовок 11,Заголовок к1,Gliederung1,Заголовок А,. (1.0),Знак Знак,Heading 1,§1,Заголовок 1 Знак2"/>
    <w:basedOn w:val="a"/>
    <w:next w:val="a"/>
    <w:link w:val="10"/>
    <w:qFormat/>
    <w:rsid w:val="009B473B"/>
    <w:pPr>
      <w:numPr>
        <w:numId w:val="2"/>
      </w:numPr>
      <w:spacing w:after="240" w:line="240" w:lineRule="auto"/>
      <w:ind w:right="709"/>
      <w:jc w:val="both"/>
      <w:outlineLvl w:val="0"/>
    </w:pPr>
    <w:rPr>
      <w:rFonts w:ascii="Times New Roman" w:eastAsia="Times New Roman" w:hAnsi="Times New Roman" w:cs="Times New Roman"/>
      <w:b/>
      <w:iCs/>
      <w:caps/>
      <w:sz w:val="24"/>
      <w:szCs w:val="20"/>
      <w:lang w:eastAsia="ru-RU"/>
    </w:rPr>
  </w:style>
  <w:style w:type="paragraph" w:styleId="2">
    <w:name w:val="heading 2"/>
    <w:aliases w:val="H2,h2,Numbered text 3,hseHeading 2,OG Heading 2,- 1.1,Title3,Заголовок 2 Знак2,Заголовок 2 Знак1 Знак,Заголовок 2 Знак Знак Знак,Заголовок 2 Знак Знак1,Numbered text 3 Знак,Numbered text 3 Знак Знак,заголовок2,1. Заголовок 2"/>
    <w:basedOn w:val="a"/>
    <w:next w:val="a"/>
    <w:link w:val="20"/>
    <w:qFormat/>
    <w:rsid w:val="009B473B"/>
    <w:pPr>
      <w:numPr>
        <w:ilvl w:val="1"/>
        <w:numId w:val="2"/>
      </w:numPr>
      <w:spacing w:before="240" w:after="240" w:line="240" w:lineRule="auto"/>
      <w:jc w:val="both"/>
      <w:outlineLvl w:val="1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3">
    <w:name w:val="heading 3"/>
    <w:aliases w:val=" Знак,Заголовок 3 Знак1,Заголовок 3 Знак Знак,Заголовок 3 Знак1 Знак,Заголовок 3 Знак Знак Знак Знак,Заголовок 3 Знак Знак Знак Знак Знак,Gliederung3,Знак3,- 1.1.1,Aaaiiinou (iacaaiea),Ведомость (название),RSKH3,EIA H3,.1.1"/>
    <w:basedOn w:val="a"/>
    <w:next w:val="a"/>
    <w:link w:val="30"/>
    <w:qFormat/>
    <w:rsid w:val="009B473B"/>
    <w:pPr>
      <w:numPr>
        <w:ilvl w:val="2"/>
        <w:numId w:val="2"/>
      </w:numPr>
      <w:spacing w:before="240" w:after="24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styleId="4">
    <w:name w:val="heading 4"/>
    <w:aliases w:val="Заголовок 4 подпункт УГТП,- 11,11,- 13,13,- 14,14,- 1.1.1.1,EIA H4,OG Heading 4, Знак2 Знак Знак, Знак2 Знак Знак Знак, Знак2 Знак,H4,(????.),Н4,Map Title,Подпункт,Заголовок 4 ОРД,Б4,RTC 4,Пункт Знак,Пункт,Заголовок 4_Макс"/>
    <w:basedOn w:val="a"/>
    <w:next w:val="a"/>
    <w:link w:val="40"/>
    <w:qFormat/>
    <w:rsid w:val="009B473B"/>
    <w:pPr>
      <w:numPr>
        <w:ilvl w:val="3"/>
        <w:numId w:val="2"/>
      </w:numPr>
      <w:spacing w:before="240" w:after="240" w:line="240" w:lineRule="auto"/>
      <w:jc w:val="both"/>
      <w:outlineLvl w:val="3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5">
    <w:name w:val="heading 5"/>
    <w:aliases w:val="Heading 5 NOT IN USE,Heading 5,Underline,Bold,Bold Underline,обычный, Знак1, Знак1 Знак Знак, Знак1 Знак Знак Знак, Знак1 Знак,H5,oaaeeoa, òàáëèöà,òàáëèöà,Block Label,Block Label1,Block Label2,Block Label3,Block Label11,Block Label21"/>
    <w:basedOn w:val="a"/>
    <w:next w:val="a"/>
    <w:link w:val="50"/>
    <w:qFormat/>
    <w:rsid w:val="009B473B"/>
    <w:pPr>
      <w:numPr>
        <w:ilvl w:val="4"/>
        <w:numId w:val="2"/>
      </w:numPr>
      <w:spacing w:before="240" w:after="240" w:line="240" w:lineRule="auto"/>
      <w:jc w:val="both"/>
      <w:outlineLvl w:val="4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6">
    <w:name w:val="heading 6"/>
    <w:aliases w:val="Heading 6 NOT IN USE,Heading 6,Italic,Bold heading,Heading 6 Char, Знак6,Пункт 6,H6,OG Distribution,OG Distribution Знак,Heading 6 Знак1,Bullet (Single Lines),ICS in header,(A),(I),Знак6"/>
    <w:basedOn w:val="a"/>
    <w:next w:val="a"/>
    <w:link w:val="60"/>
    <w:qFormat/>
    <w:rsid w:val="009B473B"/>
    <w:pPr>
      <w:numPr>
        <w:ilvl w:val="5"/>
        <w:numId w:val="2"/>
      </w:numPr>
      <w:spacing w:before="240" w:after="240" w:line="240" w:lineRule="auto"/>
      <w:jc w:val="both"/>
      <w:outlineLvl w:val="5"/>
    </w:pPr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styleId="7">
    <w:name w:val="heading 7"/>
    <w:aliases w:val="Heading 7 NOT IN USE, Heading 7 NOT IN USE,Heading 7, Знак5,H7,(содержание док),Not in Use Знак,Itallics Знак,Italics Знак,Not in Use,Itallics,Italics,Not in Use1,Not in Use2,Not in Use3,Not in Use4,Знак5"/>
    <w:basedOn w:val="a"/>
    <w:next w:val="a"/>
    <w:link w:val="70"/>
    <w:qFormat/>
    <w:rsid w:val="009B473B"/>
    <w:pPr>
      <w:keepNext/>
      <w:numPr>
        <w:ilvl w:val="6"/>
        <w:numId w:val="2"/>
      </w:numPr>
      <w:spacing w:before="240" w:after="240" w:line="240" w:lineRule="auto"/>
      <w:jc w:val="both"/>
      <w:outlineLvl w:val="6"/>
    </w:pPr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styleId="8">
    <w:name w:val="heading 8"/>
    <w:aliases w:val="Heading 8 NOT IN USE,not In use, Heading 8 NOT IN USE, Знак8,Знак8, Знак4,GFDSN H,Знак4"/>
    <w:basedOn w:val="a"/>
    <w:next w:val="a"/>
    <w:link w:val="80"/>
    <w:qFormat/>
    <w:rsid w:val="009B473B"/>
    <w:pPr>
      <w:numPr>
        <w:ilvl w:val="7"/>
        <w:numId w:val="2"/>
      </w:numPr>
      <w:spacing w:before="240" w:after="240" w:line="240" w:lineRule="auto"/>
      <w:jc w:val="both"/>
      <w:outlineLvl w:val="7"/>
    </w:pPr>
    <w:rPr>
      <w:rFonts w:ascii="Times New Roman" w:eastAsia="Times New Roman" w:hAnsi="Times New Roman" w:cs="Times New Roman"/>
      <w:b/>
      <w:bCs/>
      <w:caps/>
      <w:sz w:val="24"/>
      <w:szCs w:val="24"/>
      <w:lang w:eastAsia="ru-RU"/>
    </w:rPr>
  </w:style>
  <w:style w:type="paragraph" w:styleId="9">
    <w:name w:val="heading 9"/>
    <w:aliases w:val="Heading 9 NOT IN USE,Not in use, Heading 9 NOT IN USE,Heading 9,Заголовок 90,Заголовок 9 Знак Знак,Заголовок 9 Знак Знак Знак, Знак3,примечание,Not in use1,Not in use2,Not in use3,Not in use4,Not in use5,Not in use6"/>
    <w:basedOn w:val="a"/>
    <w:next w:val="a"/>
    <w:link w:val="90"/>
    <w:qFormat/>
    <w:rsid w:val="009B473B"/>
    <w:pPr>
      <w:numPr>
        <w:ilvl w:val="8"/>
        <w:numId w:val="2"/>
      </w:numPr>
      <w:spacing w:before="240" w:after="240" w:line="240" w:lineRule="auto"/>
      <w:jc w:val="both"/>
      <w:outlineLvl w:val="8"/>
    </w:pPr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1,. Знак,Heading 1 Char Char Знак,номер приложения Знак,iiia? i?eei?aiey Знак,11. Заголовок 1 Знак,Раздел 1 Знак,Заголовок 1 Знак Знак Знак Знак,новая страница Знак Знак,Заголовок 11 Знак,Заголовок к1 Знак,§1 Знак"/>
    <w:basedOn w:val="a0"/>
    <w:link w:val="1"/>
    <w:rsid w:val="009B473B"/>
    <w:rPr>
      <w:rFonts w:ascii="Times New Roman" w:eastAsia="Times New Roman" w:hAnsi="Times New Roman" w:cs="Times New Roman"/>
      <w:b/>
      <w:iCs/>
      <w:caps/>
      <w:sz w:val="24"/>
      <w:szCs w:val="20"/>
      <w:lang w:eastAsia="ru-RU"/>
    </w:rPr>
  </w:style>
  <w:style w:type="character" w:customStyle="1" w:styleId="20">
    <w:name w:val="Заголовок 2 Знак"/>
    <w:aliases w:val="H2 Знак,h2 Знак,Numbered text 3 Знак1,hseHeading 2 Знак,OG Heading 2 Знак,- 1.1 Знак,Title3 Знак,Заголовок 2 Знак2 Знак,Заголовок 2 Знак1 Знак Знак,Заголовок 2 Знак Знак Знак Знак,Заголовок 2 Знак Знак1 Знак,Numbered text 3 Знак Знак1"/>
    <w:basedOn w:val="a0"/>
    <w:link w:val="2"/>
    <w:rsid w:val="009B473B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30">
    <w:name w:val="Заголовок 3 Знак"/>
    <w:aliases w:val=" Знак Знак,Заголовок 3 Знак1 Знак1,Заголовок 3 Знак Знак Знак,Заголовок 3 Знак1 Знак Знак,Заголовок 3 Знак Знак Знак Знак Знак1,Заголовок 3 Знак Знак Знак Знак Знак Знак,Gliederung3 Знак,Знак3 Знак,- 1.1.1 Знак,Aaaiiinou (iacaaiea) Знак"/>
    <w:basedOn w:val="a0"/>
    <w:link w:val="3"/>
    <w:rsid w:val="009B473B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40">
    <w:name w:val="Заголовок 4 Знак"/>
    <w:aliases w:val="Заголовок 4 подпункт УГТП Знак,- 11 Знак,11 Знак,- 13 Знак,13 Знак,- 14 Знак,14 Знак,- 1.1.1.1 Знак,EIA H4 Знак,OG Heading 4 Знак, Знак2 Знак Знак Знак1, Знак2 Знак Знак Знак Знак, Знак2 Знак Знак1,H4 Знак,(????.) Знак,Н4 Знак,Б4 Знак"/>
    <w:basedOn w:val="a0"/>
    <w:link w:val="4"/>
    <w:rsid w:val="009B473B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50">
    <w:name w:val="Заголовок 5 Знак"/>
    <w:aliases w:val="Heading 5 NOT IN USE Знак,Heading 5 Знак,Underline Знак,Bold Знак,Bold Underline Знак,обычный Знак, Знак1 Знак1, Знак1 Знак Знак Знак1, Знак1 Знак Знак Знак Знак, Знак1 Знак Знак1,H5 Знак,oaaeeoa Знак, òàáëèöà Знак,òàáëèöà Знак"/>
    <w:basedOn w:val="a0"/>
    <w:link w:val="5"/>
    <w:rsid w:val="009B473B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60">
    <w:name w:val="Заголовок 6 Знак"/>
    <w:aliases w:val="Heading 6 NOT IN USE Знак,Heading 6 Знак,Italic Знак,Bold heading Знак,Heading 6 Char Знак, Знак6 Знак,Пункт 6 Знак,H6 Знак,OG Distribution Знак1,OG Distribution Знак Знак,Heading 6 Знак1 Знак,Bullet (Single Lines) Знак,(A) Знак"/>
    <w:basedOn w:val="a0"/>
    <w:link w:val="6"/>
    <w:rsid w:val="009B473B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70">
    <w:name w:val="Заголовок 7 Знак"/>
    <w:aliases w:val="Heading 7 NOT IN USE Знак, Heading 7 NOT IN USE Знак,Heading 7 Знак, Знак5 Знак,H7 Знак,(содержание док) Знак,Not in Use Знак Знак,Itallics Знак Знак,Italics Знак Знак,Not in Use Знак1,Itallics Знак1,Italics Знак1,Not in Use1 Знак"/>
    <w:basedOn w:val="a0"/>
    <w:link w:val="7"/>
    <w:rsid w:val="009B473B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80">
    <w:name w:val="Заголовок 8 Знак"/>
    <w:aliases w:val="Heading 8 NOT IN USE Знак,not In use Знак, Heading 8 NOT IN USE Знак, Знак8 Знак,Знак8 Знак, Знак4 Знак,GFDSN H Знак,Знак4 Знак"/>
    <w:basedOn w:val="a0"/>
    <w:link w:val="8"/>
    <w:rsid w:val="009B473B"/>
    <w:rPr>
      <w:rFonts w:ascii="Times New Roman" w:eastAsia="Times New Roman" w:hAnsi="Times New Roman" w:cs="Times New Roman"/>
      <w:b/>
      <w:bCs/>
      <w:caps/>
      <w:sz w:val="24"/>
      <w:szCs w:val="24"/>
      <w:lang w:eastAsia="ru-RU"/>
    </w:rPr>
  </w:style>
  <w:style w:type="character" w:customStyle="1" w:styleId="90">
    <w:name w:val="Заголовок 9 Знак"/>
    <w:aliases w:val="Heading 9 NOT IN USE Знак,Not in use Знак, Heading 9 NOT IN USE Знак,Heading 9 Знак,Заголовок 90 Знак,Заголовок 9 Знак Знак Знак1,Заголовок 9 Знак Знак Знак Знак, Знак3 Знак,примечание Знак,Not in use1 Знак,Not in use2 Знак"/>
    <w:basedOn w:val="a0"/>
    <w:link w:val="9"/>
    <w:rsid w:val="009B473B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7D3C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3C4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97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14</Pages>
  <Words>2214</Words>
  <Characters>12625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Чиркова Дарья Николаевна</dc:creator>
  <cp:keywords/>
  <dc:description/>
  <cp:lastModifiedBy>Светлана Неустроева</cp:lastModifiedBy>
  <cp:revision>8</cp:revision>
  <dcterms:created xsi:type="dcterms:W3CDTF">2020-11-12T12:12:00Z</dcterms:created>
  <dcterms:modified xsi:type="dcterms:W3CDTF">2020-11-13T08:31:00Z</dcterms:modified>
</cp:coreProperties>
</file>